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1E8" w:rsidRDefault="007D41E8" w:rsidP="007D41E8">
      <w:pPr>
        <w:pStyle w:val="Akapitzlist"/>
        <w:spacing w:after="120"/>
        <w:ind w:left="360" w:firstLine="0"/>
        <w:jc w:val="center"/>
        <w:rPr>
          <w:sz w:val="22"/>
          <w:szCs w:val="22"/>
        </w:rPr>
      </w:pPr>
      <w:r>
        <w:rPr>
          <w:sz w:val="22"/>
          <w:szCs w:val="22"/>
        </w:rPr>
        <w:t>OBJAŚNIENIA DO WNIOSKU</w:t>
      </w:r>
    </w:p>
    <w:p w:rsidR="007D41E8" w:rsidRDefault="007D41E8" w:rsidP="007D41E8">
      <w:pPr>
        <w:pStyle w:val="Akapitzlist"/>
        <w:spacing w:after="120"/>
        <w:ind w:left="360" w:firstLine="0"/>
        <w:jc w:val="center"/>
        <w:rPr>
          <w:sz w:val="22"/>
          <w:szCs w:val="22"/>
        </w:rPr>
      </w:pPr>
    </w:p>
    <w:p w:rsidR="007D41E8" w:rsidRDefault="007D41E8" w:rsidP="007D41E8">
      <w:pPr>
        <w:pStyle w:val="Akapitzlist"/>
        <w:spacing w:after="120"/>
        <w:ind w:left="360" w:firstLine="0"/>
        <w:jc w:val="center"/>
        <w:rPr>
          <w:sz w:val="22"/>
          <w:szCs w:val="22"/>
        </w:rPr>
      </w:pPr>
    </w:p>
    <w:p w:rsidR="007D41E8" w:rsidRPr="00F720BB" w:rsidRDefault="007D41E8" w:rsidP="007D41E8">
      <w:pPr>
        <w:spacing w:after="120"/>
        <w:ind w:firstLine="0"/>
        <w:rPr>
          <w:rFonts w:ascii="Times New Roman" w:hAnsi="Times New Roman"/>
          <w:szCs w:val="22"/>
        </w:rPr>
      </w:pPr>
      <w:r w:rsidRPr="00F720BB">
        <w:rPr>
          <w:rFonts w:ascii="Times New Roman" w:hAnsi="Times New Roman"/>
          <w:szCs w:val="22"/>
        </w:rPr>
        <w:t>Z analizy rozwiązań przyjętych we wniosku wynika, że w ramach Programu gmina finansuje co najmniej połowę godzin, a druga połowa godzin (lub mniejsza część)  jest finansowana z Funduszu. Rozwiązanie zakłada zatem odrębne finansowanie poszczególnych godzin realizowanych w ramach Programu, a nie współfinansowanie kosztu każdej godziny realizowanej w Programie w czę</w:t>
      </w:r>
      <w:r>
        <w:rPr>
          <w:rFonts w:ascii="Times New Roman" w:hAnsi="Times New Roman"/>
          <w:szCs w:val="22"/>
        </w:rPr>
        <w:t>ści ze środków budżetowych gminy</w:t>
      </w:r>
      <w:r w:rsidRPr="00F720BB">
        <w:rPr>
          <w:rFonts w:ascii="Times New Roman" w:hAnsi="Times New Roman"/>
          <w:szCs w:val="22"/>
        </w:rPr>
        <w:t xml:space="preserve"> a w części ze środków Funduszu. Dlatego też, dla potrzeb weryfikacji druku stanowiącego wzór wniosku gminy na środki finansowe z Programu, przyjęto następujące definicje:</w:t>
      </w:r>
    </w:p>
    <w:p w:rsidR="007D41E8" w:rsidRPr="002D5F95" w:rsidRDefault="007D41E8" w:rsidP="007D41E8">
      <w:pPr>
        <w:numPr>
          <w:ilvl w:val="0"/>
          <w:numId w:val="1"/>
        </w:numPr>
        <w:ind w:left="426"/>
        <w:contextualSpacing/>
        <w:rPr>
          <w:rFonts w:ascii="Times New Roman" w:hAnsi="Times New Roman"/>
          <w:szCs w:val="22"/>
        </w:rPr>
      </w:pPr>
      <w:r w:rsidRPr="002D5F95">
        <w:rPr>
          <w:rFonts w:ascii="Times New Roman" w:hAnsi="Times New Roman"/>
          <w:szCs w:val="22"/>
        </w:rPr>
        <w:t>Uwzględniając zapis nagłówka kol.</w:t>
      </w:r>
      <w:r>
        <w:rPr>
          <w:rFonts w:ascii="Times New Roman" w:hAnsi="Times New Roman"/>
          <w:szCs w:val="22"/>
        </w:rPr>
        <w:t xml:space="preserve"> </w:t>
      </w:r>
      <w:bookmarkStart w:id="0" w:name="_GoBack"/>
      <w:bookmarkEnd w:id="0"/>
      <w:r w:rsidRPr="002D5F95">
        <w:rPr>
          <w:rFonts w:ascii="Times New Roman" w:hAnsi="Times New Roman"/>
          <w:szCs w:val="22"/>
        </w:rPr>
        <w:t>8. formularza wniosku założono, że sformułowanie „</w:t>
      </w:r>
      <w:r w:rsidRPr="002D5F95">
        <w:rPr>
          <w:rFonts w:ascii="Times New Roman" w:hAnsi="Times New Roman"/>
          <w:i/>
          <w:szCs w:val="22"/>
        </w:rPr>
        <w:t>którym przyznano decyzją usługi”</w:t>
      </w:r>
      <w:r w:rsidRPr="002D5F95">
        <w:rPr>
          <w:rFonts w:ascii="Times New Roman" w:hAnsi="Times New Roman"/>
          <w:szCs w:val="22"/>
        </w:rPr>
        <w:t xml:space="preserve"> dotyczy osób, którym już wydano decyzję administracyjną przyznająca usługi oraz osób, którym decyzja zostanie wydana w ciągu roku. W innym przypadku nie byłoby możliwości sfinansowania z Funduszu nowych godzin przewidywanych do przyznania w ciągu roku, co biorąc pod uwagę założenia Programu, nie byłoby uzasadnione. Analogicznie założono, że sformułowania o treści: „</w:t>
      </w:r>
      <w:r w:rsidRPr="002D5F95">
        <w:rPr>
          <w:rFonts w:ascii="Times New Roman" w:hAnsi="Times New Roman"/>
          <w:i/>
          <w:szCs w:val="22"/>
        </w:rPr>
        <w:t>liczba godzin usług opiekuńczych przyznanych decyzją”, „liczba godzin przyznanych”,</w:t>
      </w:r>
      <w:r w:rsidRPr="002D5F95">
        <w:rPr>
          <w:rFonts w:ascii="Times New Roman" w:hAnsi="Times New Roman"/>
          <w:szCs w:val="22"/>
        </w:rPr>
        <w:t xml:space="preserve"> dotyczą godzin, które zostały już przyznane oraz godzin, które zostaną przyznane w ciągu roku.  Informacje zawarte w pierwszych dwóch tabelach dotyczą wartości planowanych a więc również osób, które otrzymają pomoc w</w:t>
      </w:r>
      <w:r>
        <w:rPr>
          <w:rFonts w:ascii="Times New Roman" w:hAnsi="Times New Roman"/>
          <w:szCs w:val="22"/>
        </w:rPr>
        <w:t xml:space="preserve"> formie usług w trakcie roku (w </w:t>
      </w:r>
      <w:r w:rsidRPr="002D5F95">
        <w:rPr>
          <w:rFonts w:ascii="Times New Roman" w:hAnsi="Times New Roman"/>
          <w:szCs w:val="22"/>
        </w:rPr>
        <w:t>okresie obowiązywania programu).</w:t>
      </w:r>
    </w:p>
    <w:p w:rsidR="007D41E8" w:rsidRPr="002D5F95" w:rsidRDefault="007D41E8" w:rsidP="007D41E8">
      <w:pPr>
        <w:numPr>
          <w:ilvl w:val="0"/>
          <w:numId w:val="1"/>
        </w:numPr>
        <w:ind w:left="426"/>
        <w:contextualSpacing/>
        <w:rPr>
          <w:rFonts w:ascii="Times New Roman" w:hAnsi="Times New Roman"/>
          <w:szCs w:val="22"/>
        </w:rPr>
      </w:pPr>
      <w:r w:rsidRPr="002D5F95">
        <w:rPr>
          <w:rFonts w:ascii="Times New Roman" w:hAnsi="Times New Roman"/>
          <w:szCs w:val="22"/>
        </w:rPr>
        <w:t xml:space="preserve">Kolumny nr 1, 1a, 17, 18 – dotyczą wartości liczby godzin i kosztu wszystkich usług realizowanych w gminie, realizowanych lub planowanych do realizacji przez OPS na podstawie decyzji administracyjnych, niezależnie od źródła finansowania. </w:t>
      </w:r>
    </w:p>
    <w:p w:rsidR="007D41E8" w:rsidRPr="002D5F95" w:rsidRDefault="007D41E8" w:rsidP="007D41E8">
      <w:pPr>
        <w:numPr>
          <w:ilvl w:val="0"/>
          <w:numId w:val="1"/>
        </w:numPr>
        <w:ind w:left="426"/>
        <w:contextualSpacing/>
        <w:rPr>
          <w:rFonts w:ascii="Times New Roman" w:hAnsi="Times New Roman"/>
          <w:szCs w:val="22"/>
        </w:rPr>
      </w:pPr>
      <w:r w:rsidRPr="002D5F95">
        <w:rPr>
          <w:rFonts w:ascii="Times New Roman" w:hAnsi="Times New Roman"/>
          <w:szCs w:val="22"/>
        </w:rPr>
        <w:t>Kolumna nr 1 – ogólna liczba godzin planowana na rok 2019 nie może być niższa niż suma: łącznej liczby godzin zrealizowanych w roku 2018 (kol. 17) i przewidywanej liczby godzin usług, których koszt będzie sfinansowany z Funduszu (kol. 9).</w:t>
      </w:r>
    </w:p>
    <w:p w:rsidR="007D41E8" w:rsidRPr="002D5F95" w:rsidRDefault="007D41E8" w:rsidP="007D41E8">
      <w:pPr>
        <w:numPr>
          <w:ilvl w:val="0"/>
          <w:numId w:val="1"/>
        </w:numPr>
        <w:ind w:left="426"/>
        <w:contextualSpacing/>
        <w:rPr>
          <w:rFonts w:ascii="Times New Roman" w:hAnsi="Times New Roman"/>
          <w:szCs w:val="22"/>
        </w:rPr>
      </w:pPr>
      <w:r w:rsidRPr="002D5F95">
        <w:rPr>
          <w:rFonts w:ascii="Times New Roman" w:hAnsi="Times New Roman"/>
          <w:szCs w:val="22"/>
        </w:rPr>
        <w:t>Kolumna nr 1a – całkowity planowany koszt usług na rok 2019 nie może być mniejszy niż suma: iloczynu liczby godzin usług zrealizowanych w 2018 roku (kol. 17) i średniego kosztu 1 godziny usług planowanego na rok 2019 (kol. 12) oraz kwoty środków planowanych z Funduszu (kol. 14).</w:t>
      </w:r>
    </w:p>
    <w:p w:rsidR="007D41E8" w:rsidRPr="002D5F95" w:rsidRDefault="007D41E8" w:rsidP="007D41E8">
      <w:pPr>
        <w:numPr>
          <w:ilvl w:val="0"/>
          <w:numId w:val="1"/>
        </w:numPr>
        <w:ind w:left="426"/>
        <w:contextualSpacing/>
        <w:rPr>
          <w:rFonts w:ascii="Times New Roman" w:hAnsi="Times New Roman"/>
          <w:szCs w:val="22"/>
        </w:rPr>
      </w:pPr>
      <w:r w:rsidRPr="002D5F95">
        <w:rPr>
          <w:rFonts w:ascii="Times New Roman" w:hAnsi="Times New Roman"/>
          <w:szCs w:val="22"/>
        </w:rPr>
        <w:t xml:space="preserve">Kolumna nr 8 – dotyczy wyłącznie liczby godzin realizowanych w ramach Programu, z których co najmniej połowa musi być sfinansowana ze środków własnych gminy. </w:t>
      </w:r>
    </w:p>
    <w:p w:rsidR="007D41E8" w:rsidRPr="002D5F95" w:rsidRDefault="007D41E8" w:rsidP="007D41E8">
      <w:pPr>
        <w:numPr>
          <w:ilvl w:val="0"/>
          <w:numId w:val="1"/>
        </w:numPr>
        <w:ind w:left="426"/>
        <w:contextualSpacing/>
        <w:rPr>
          <w:rFonts w:ascii="Times New Roman" w:hAnsi="Times New Roman"/>
          <w:szCs w:val="22"/>
        </w:rPr>
      </w:pPr>
      <w:r w:rsidRPr="002D5F95">
        <w:rPr>
          <w:rFonts w:ascii="Times New Roman" w:hAnsi="Times New Roman"/>
          <w:szCs w:val="22"/>
        </w:rPr>
        <w:t>Kolumna nr 12 – dotyczy średniego kosztu 1 godziny usług, stanowiącego iloraz przewidywanego kosztu usług ogółem i przewidywanej liczby godzin usług. Ponieważ przepis art.50 ust.6 ustawy o pomocy społecznej nie obliguje rady gminy do ustalania kosztów 1 godz. usługi w drodze uchwały, koszt 1 godziny nie zawsze jest określany w tym trybie. Zgodnie z ww. przepisem „</w:t>
      </w:r>
      <w:r w:rsidRPr="002D5F95">
        <w:rPr>
          <w:rFonts w:ascii="Times New Roman" w:hAnsi="Times New Roman"/>
          <w:i/>
          <w:szCs w:val="22"/>
        </w:rPr>
        <w:t>Rada gminy określa, w drodze uchwały, szczegółowe warunki przyznawania i odpłatności za usługi […] oraz szczegółowe warunki częściowego lub całkowitego zwolnienia od opłat, jak również tryb ich pobierania”</w:t>
      </w:r>
      <w:r w:rsidRPr="002D5F95">
        <w:rPr>
          <w:rFonts w:ascii="Times New Roman" w:hAnsi="Times New Roman"/>
          <w:szCs w:val="22"/>
        </w:rPr>
        <w:t>. Uwzględniany w treści uchwał koszt 1 godz. usług ustalany jest w wielu przypadkach na potrzeby wyliczenia wysokości odpłatności osób za udzielane świadczenia i nie odzwierciedla faktycznych kosztów ponoszonych przez gminę na realizację ww. usług.</w:t>
      </w:r>
    </w:p>
    <w:p w:rsidR="007D41E8" w:rsidRDefault="007D41E8" w:rsidP="007D41E8">
      <w:pPr>
        <w:numPr>
          <w:ilvl w:val="0"/>
          <w:numId w:val="1"/>
        </w:numPr>
        <w:spacing w:after="120"/>
        <w:ind w:left="426"/>
        <w:contextualSpacing/>
        <w:rPr>
          <w:rFonts w:ascii="Times New Roman" w:hAnsi="Times New Roman"/>
          <w:szCs w:val="22"/>
        </w:rPr>
      </w:pPr>
      <w:r w:rsidRPr="002D5F95">
        <w:rPr>
          <w:rFonts w:ascii="Times New Roman" w:hAnsi="Times New Roman"/>
          <w:szCs w:val="22"/>
        </w:rPr>
        <w:t>Kolumna nr 19 i 21 – dotyczy liczby osób, dla których faktycznie zrealizowano usługi a nie osób, którym „przyznano decyzją usługi opiekuńcze”. Przyjęto przez analogię do kolumny nr 17, która dotyczy liczby godzin zrealizowanych.</w:t>
      </w:r>
    </w:p>
    <w:p w:rsidR="007D41E8" w:rsidRPr="002D5F95" w:rsidRDefault="007D41E8" w:rsidP="007D41E8">
      <w:pPr>
        <w:spacing w:after="120"/>
        <w:ind w:left="720" w:firstLine="0"/>
        <w:contextualSpacing/>
        <w:rPr>
          <w:rFonts w:ascii="Times New Roman" w:hAnsi="Times New Roman"/>
          <w:szCs w:val="22"/>
        </w:rPr>
      </w:pPr>
    </w:p>
    <w:p w:rsidR="007D41E8" w:rsidRPr="005A2CEC" w:rsidRDefault="007D41E8" w:rsidP="007D41E8">
      <w:pPr>
        <w:ind w:firstLine="0"/>
        <w:rPr>
          <w:rFonts w:asciiTheme="minorHAnsi" w:hAnsiTheme="minorHAnsi" w:cstheme="minorHAnsi"/>
          <w:sz w:val="24"/>
          <w:szCs w:val="24"/>
        </w:rPr>
      </w:pPr>
    </w:p>
    <w:p w:rsidR="00E57349" w:rsidRDefault="00E57349"/>
    <w:sectPr w:rsidR="00E57349" w:rsidSect="00000A9C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1418" w:right="1418" w:bottom="1418" w:left="1418" w:header="680" w:footer="3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D2E" w:rsidRDefault="003D4D2E" w:rsidP="007D41E8">
      <w:r>
        <w:separator/>
      </w:r>
    </w:p>
  </w:endnote>
  <w:endnote w:type="continuationSeparator" w:id="0">
    <w:p w:rsidR="003D4D2E" w:rsidRDefault="003D4D2E" w:rsidP="007D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3696532"/>
      <w:docPartObj>
        <w:docPartGallery w:val="Page Numbers (Bottom of Page)"/>
        <w:docPartUnique/>
      </w:docPartObj>
    </w:sdtPr>
    <w:sdtEndPr/>
    <w:sdtContent>
      <w:p w:rsidR="00000A9C" w:rsidRDefault="003D4D2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00A9C" w:rsidRDefault="003D4D2E">
    <w:pPr>
      <w:pStyle w:val="Stopka"/>
    </w:pPr>
  </w:p>
  <w:p w:rsidR="00327189" w:rsidRDefault="003D4D2E"/>
  <w:p w:rsidR="00327189" w:rsidRDefault="003D4D2E" w:rsidP="00EC59B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8CD" w:rsidRPr="003129B0" w:rsidRDefault="003D4D2E" w:rsidP="00DE78CD">
    <w:pPr>
      <w:pStyle w:val="Stopka"/>
      <w:rPr>
        <w:sz w:val="16"/>
        <w:szCs w:val="16"/>
      </w:rPr>
    </w:pPr>
  </w:p>
  <w:p w:rsidR="00DE78CD" w:rsidRPr="003129B0" w:rsidRDefault="003D4D2E" w:rsidP="00DE78CD">
    <w:pPr>
      <w:pStyle w:val="Stopka"/>
      <w:pBdr>
        <w:top w:val="single" w:sz="4" w:space="0" w:color="auto"/>
      </w:pBdr>
      <w:tabs>
        <w:tab w:val="clear" w:pos="4536"/>
        <w:tab w:val="clear" w:pos="9072"/>
        <w:tab w:val="left" w:pos="9840"/>
        <w:tab w:val="left" w:pos="10680"/>
      </w:tabs>
      <w:ind w:right="-48"/>
      <w:jc w:val="center"/>
      <w:rPr>
        <w:rFonts w:cs="Arial"/>
        <w:sz w:val="16"/>
        <w:szCs w:val="16"/>
      </w:rPr>
    </w:pPr>
    <w:r w:rsidRPr="003129B0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DDF8AF1" wp14:editId="63E21CFC">
          <wp:simplePos x="0" y="0"/>
          <wp:positionH relativeFrom="margin">
            <wp:align>left</wp:align>
          </wp:positionH>
          <wp:positionV relativeFrom="paragraph">
            <wp:posOffset>29618</wp:posOffset>
          </wp:positionV>
          <wp:extent cx="630000" cy="630000"/>
          <wp:effectExtent l="0" t="0" r="0" b="0"/>
          <wp:wrapNone/>
          <wp:docPr id="9" name="Obraz 9" descr="untitl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0000" cy="63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E78CD" w:rsidRPr="003129B0" w:rsidRDefault="003D4D2E" w:rsidP="00DE78CD">
    <w:pPr>
      <w:pStyle w:val="Stopka"/>
      <w:jc w:val="center"/>
      <w:rPr>
        <w:rFonts w:cs="Arial"/>
        <w:b/>
        <w:sz w:val="16"/>
        <w:szCs w:val="16"/>
      </w:rPr>
    </w:pPr>
    <w:r w:rsidRPr="003129B0">
      <w:rPr>
        <w:rFonts w:cs="Arial"/>
        <w:b/>
        <w:sz w:val="16"/>
        <w:szCs w:val="16"/>
      </w:rPr>
      <w:t xml:space="preserve">         31-156 Kraków, ul.</w:t>
    </w:r>
    <w:r>
      <w:rPr>
        <w:rFonts w:cs="Arial"/>
        <w:b/>
        <w:sz w:val="16"/>
        <w:szCs w:val="16"/>
      </w:rPr>
      <w:t xml:space="preserve"> Basztowa 22 * tel. 12 39 21 519</w:t>
    </w:r>
    <w:r w:rsidRPr="003129B0">
      <w:rPr>
        <w:rFonts w:cs="Arial"/>
        <w:b/>
        <w:sz w:val="16"/>
        <w:szCs w:val="16"/>
      </w:rPr>
      <w:t xml:space="preserve"> * fax 12 </w:t>
    </w:r>
    <w:r>
      <w:rPr>
        <w:rFonts w:cs="Arial"/>
        <w:b/>
        <w:sz w:val="16"/>
        <w:szCs w:val="16"/>
      </w:rPr>
      <w:t>39 21 919</w:t>
    </w:r>
    <w:r w:rsidRPr="003129B0">
      <w:rPr>
        <w:rFonts w:cs="Arial"/>
        <w:b/>
        <w:sz w:val="16"/>
        <w:szCs w:val="16"/>
      </w:rPr>
      <w:t xml:space="preserve">, </w:t>
    </w:r>
    <w:proofErr w:type="spellStart"/>
    <w:r w:rsidRPr="003129B0">
      <w:rPr>
        <w:rFonts w:cs="Arial"/>
        <w:b/>
        <w:sz w:val="16"/>
        <w:szCs w:val="16"/>
      </w:rPr>
      <w:t>ePUAP</w:t>
    </w:r>
    <w:proofErr w:type="spellEnd"/>
    <w:r w:rsidRPr="003129B0">
      <w:rPr>
        <w:rFonts w:cs="Arial"/>
        <w:b/>
        <w:sz w:val="16"/>
        <w:szCs w:val="16"/>
      </w:rPr>
      <w:t>: /ag9300lhke/skrytka</w:t>
    </w:r>
  </w:p>
  <w:p w:rsidR="003129B0" w:rsidRDefault="003D4D2E" w:rsidP="00DE78CD">
    <w:pPr>
      <w:pStyle w:val="Stopka"/>
      <w:ind w:firstLine="180"/>
      <w:jc w:val="center"/>
      <w:rPr>
        <w:rFonts w:cs="Arial"/>
        <w:sz w:val="16"/>
        <w:szCs w:val="16"/>
      </w:rPr>
    </w:pPr>
    <w:r w:rsidRPr="003129B0">
      <w:rPr>
        <w:rFonts w:cs="Arial"/>
        <w:sz w:val="16"/>
        <w:szCs w:val="16"/>
      </w:rPr>
      <w:t xml:space="preserve">         Zachęcamy do kierowania korespondencji za pośrednictwem platformy </w:t>
    </w:r>
    <w:proofErr w:type="spellStart"/>
    <w:r w:rsidRPr="003129B0">
      <w:rPr>
        <w:rFonts w:cs="Arial"/>
        <w:b/>
        <w:sz w:val="16"/>
        <w:szCs w:val="16"/>
      </w:rPr>
      <w:t>ePUAP</w:t>
    </w:r>
    <w:proofErr w:type="spellEnd"/>
    <w:r w:rsidRPr="003129B0">
      <w:rPr>
        <w:rFonts w:cs="Arial"/>
        <w:sz w:val="16"/>
        <w:szCs w:val="16"/>
      </w:rPr>
      <w:t>,</w:t>
    </w:r>
  </w:p>
  <w:p w:rsidR="00DE78CD" w:rsidRPr="003129B0" w:rsidRDefault="003D4D2E" w:rsidP="003129B0">
    <w:pPr>
      <w:pStyle w:val="Stopka"/>
      <w:ind w:firstLine="180"/>
      <w:jc w:val="center"/>
      <w:rPr>
        <w:rFonts w:cs="Arial"/>
        <w:b/>
        <w:sz w:val="16"/>
        <w:szCs w:val="16"/>
      </w:rPr>
    </w:pPr>
    <w:r w:rsidRPr="003129B0">
      <w:rPr>
        <w:rFonts w:cs="Arial"/>
        <w:sz w:val="16"/>
        <w:szCs w:val="16"/>
      </w:rPr>
      <w:t xml:space="preserve"> więcej informacji na stronie internetowej</w:t>
    </w:r>
    <w:r>
      <w:rPr>
        <w:rFonts w:cs="Arial"/>
        <w:sz w:val="16"/>
        <w:szCs w:val="16"/>
      </w:rPr>
      <w:t xml:space="preserve"> </w:t>
    </w:r>
    <w:r w:rsidRPr="003129B0">
      <w:rPr>
        <w:rFonts w:cs="Arial"/>
        <w:b/>
        <w:sz w:val="16"/>
        <w:szCs w:val="16"/>
      </w:rPr>
      <w:t>http:// www.malopolsk</w:t>
    </w:r>
    <w:r w:rsidRPr="003129B0">
      <w:rPr>
        <w:rFonts w:cs="Arial"/>
        <w:b/>
        <w:sz w:val="16"/>
        <w:szCs w:val="16"/>
      </w:rPr>
      <w:t>a.uw.gov.pl</w:t>
    </w:r>
  </w:p>
  <w:p w:rsidR="00DE78CD" w:rsidRPr="0092182A" w:rsidRDefault="003D4D2E" w:rsidP="00DE78CD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D2E" w:rsidRDefault="003D4D2E" w:rsidP="007D41E8">
      <w:r>
        <w:separator/>
      </w:r>
    </w:p>
  </w:footnote>
  <w:footnote w:type="continuationSeparator" w:id="0">
    <w:p w:rsidR="003D4D2E" w:rsidRDefault="003D4D2E" w:rsidP="007D4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B87" w:rsidRDefault="003D4D2E">
    <w:pPr>
      <w:ind w:left="851"/>
    </w:pPr>
    <w:r>
      <w:t xml:space="preserve">                   </w:t>
    </w:r>
  </w:p>
  <w:p w:rsidR="00327189" w:rsidRDefault="003D4D2E"/>
  <w:p w:rsidR="00327189" w:rsidRDefault="003D4D2E" w:rsidP="00EC59B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4111" w:type="dxa"/>
      <w:tblInd w:w="4815" w:type="dxa"/>
      <w:tblLook w:val="04A0" w:firstRow="1" w:lastRow="0" w:firstColumn="1" w:lastColumn="0" w:noHBand="0" w:noVBand="1"/>
    </w:tblPr>
    <w:tblGrid>
      <w:gridCol w:w="4111"/>
    </w:tblGrid>
    <w:tr w:rsidR="00B925CB" w:rsidTr="00474FFB">
      <w:trPr>
        <w:trHeight w:val="367"/>
      </w:trPr>
      <w:tc>
        <w:tcPr>
          <w:tcW w:w="4111" w:type="dxa"/>
          <w:tcBorders>
            <w:top w:val="nil"/>
            <w:left w:val="nil"/>
            <w:bottom w:val="nil"/>
            <w:right w:val="nil"/>
          </w:tcBorders>
        </w:tcPr>
        <w:p w:rsidR="00474FFB" w:rsidRPr="008E5895" w:rsidRDefault="003D4D2E" w:rsidP="00A32CFC">
          <w:pPr>
            <w:ind w:firstLine="0"/>
            <w:jc w:val="right"/>
          </w:pPr>
        </w:p>
      </w:tc>
    </w:tr>
  </w:tbl>
  <w:p w:rsidR="00760E09" w:rsidRPr="00760E09" w:rsidRDefault="003D4D2E" w:rsidP="007D41E8">
    <w:pPr>
      <w:ind w:left="7090" w:firstLine="0"/>
      <w:jc w:val="left"/>
      <w:rPr>
        <w:rFonts w:ascii="Garamond" w:hAnsi="Garamond"/>
        <w:sz w:val="18"/>
        <w:szCs w:val="18"/>
      </w:rPr>
    </w:pPr>
    <w:r>
      <w:rPr>
        <w:rFonts w:cs="Arial"/>
        <w:noProof/>
        <w:sz w:val="20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4B14EECB" wp14:editId="7D19B271">
              <wp:simplePos x="0" y="0"/>
              <wp:positionH relativeFrom="column">
                <wp:posOffset>-252730</wp:posOffset>
              </wp:positionH>
              <wp:positionV relativeFrom="paragraph">
                <wp:posOffset>269875</wp:posOffset>
              </wp:positionV>
              <wp:extent cx="2726690" cy="40894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6690" cy="408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42D66" w:rsidRPr="003B0040" w:rsidRDefault="003D4D2E" w:rsidP="00E8105D">
                          <w:pPr>
                            <w:jc w:val="center"/>
                            <w:rPr>
                              <w:rFonts w:ascii="Trajan Pro" w:hAnsi="Trajan Pro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14EEC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19.9pt;margin-top:21.25pt;width:214.7pt;height:32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" stroked="f">
              <v:textbox>
                <w:txbxContent>
                  <w:p w:rsidR="00642D66" w:rsidRPr="003B0040" w:rsidRDefault="003D4D2E" w:rsidP="00E8105D">
                    <w:pPr>
                      <w:jc w:val="center"/>
                      <w:rPr>
                        <w:rFonts w:ascii="Trajan Pro" w:hAnsi="Trajan Pro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1231C"/>
    <w:multiLevelType w:val="hybridMultilevel"/>
    <w:tmpl w:val="F7564B14"/>
    <w:lvl w:ilvl="0" w:tplc="0FE88604">
      <w:start w:val="1"/>
      <w:numFmt w:val="lowerLetter"/>
      <w:lvlText w:val="%1)"/>
      <w:lvlJc w:val="left"/>
      <w:pPr>
        <w:ind w:left="720" w:hanging="360"/>
      </w:pPr>
    </w:lvl>
    <w:lvl w:ilvl="1" w:tplc="D86C473C">
      <w:start w:val="1"/>
      <w:numFmt w:val="lowerLetter"/>
      <w:lvlText w:val="%2)"/>
      <w:lvlJc w:val="left"/>
      <w:pPr>
        <w:ind w:left="1440" w:hanging="360"/>
      </w:pPr>
    </w:lvl>
    <w:lvl w:ilvl="2" w:tplc="595821A8" w:tentative="1">
      <w:start w:val="1"/>
      <w:numFmt w:val="lowerRoman"/>
      <w:lvlText w:val="%3."/>
      <w:lvlJc w:val="right"/>
      <w:pPr>
        <w:ind w:left="2160" w:hanging="180"/>
      </w:pPr>
    </w:lvl>
    <w:lvl w:ilvl="3" w:tplc="A992CC04" w:tentative="1">
      <w:start w:val="1"/>
      <w:numFmt w:val="decimal"/>
      <w:lvlText w:val="%4."/>
      <w:lvlJc w:val="left"/>
      <w:pPr>
        <w:ind w:left="2880" w:hanging="360"/>
      </w:pPr>
    </w:lvl>
    <w:lvl w:ilvl="4" w:tplc="6EBCA21A" w:tentative="1">
      <w:start w:val="1"/>
      <w:numFmt w:val="lowerLetter"/>
      <w:lvlText w:val="%5."/>
      <w:lvlJc w:val="left"/>
      <w:pPr>
        <w:ind w:left="3600" w:hanging="360"/>
      </w:pPr>
    </w:lvl>
    <w:lvl w:ilvl="5" w:tplc="306C185A" w:tentative="1">
      <w:start w:val="1"/>
      <w:numFmt w:val="lowerRoman"/>
      <w:lvlText w:val="%6."/>
      <w:lvlJc w:val="right"/>
      <w:pPr>
        <w:ind w:left="4320" w:hanging="180"/>
      </w:pPr>
    </w:lvl>
    <w:lvl w:ilvl="6" w:tplc="A4AE318A" w:tentative="1">
      <w:start w:val="1"/>
      <w:numFmt w:val="decimal"/>
      <w:lvlText w:val="%7."/>
      <w:lvlJc w:val="left"/>
      <w:pPr>
        <w:ind w:left="5040" w:hanging="360"/>
      </w:pPr>
    </w:lvl>
    <w:lvl w:ilvl="7" w:tplc="C9B0F990" w:tentative="1">
      <w:start w:val="1"/>
      <w:numFmt w:val="lowerLetter"/>
      <w:lvlText w:val="%8."/>
      <w:lvlJc w:val="left"/>
      <w:pPr>
        <w:ind w:left="5760" w:hanging="360"/>
      </w:pPr>
    </w:lvl>
    <w:lvl w:ilvl="8" w:tplc="A898696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1E8"/>
    <w:rsid w:val="003D4D2E"/>
    <w:rsid w:val="007D41E8"/>
    <w:rsid w:val="00E5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E3624A"/>
  <w15:chartTrackingRefBased/>
  <w15:docId w15:val="{A082AEA4-4341-46CD-BCAF-B4420665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41E8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D41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41E8"/>
    <w:rPr>
      <w:rFonts w:ascii="Arial" w:eastAsia="Times New Roman" w:hAnsi="Arial" w:cs="Times New Roman"/>
      <w:szCs w:val="20"/>
      <w:lang w:eastAsia="pl-PL"/>
    </w:rPr>
  </w:style>
  <w:style w:type="paragraph" w:customStyle="1" w:styleId="MUWtabelka">
    <w:name w:val="MUWtabelka"/>
    <w:basedOn w:val="Normalny"/>
    <w:rsid w:val="007D41E8"/>
    <w:pPr>
      <w:jc w:val="center"/>
    </w:pPr>
  </w:style>
  <w:style w:type="table" w:styleId="Tabela-Siatka">
    <w:name w:val="Table Grid"/>
    <w:basedOn w:val="Standardowy"/>
    <w:uiPriority w:val="39"/>
    <w:rsid w:val="007D4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D41E8"/>
    <w:pPr>
      <w:ind w:left="720"/>
      <w:contextualSpacing/>
    </w:pPr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7D41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41E8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Chytrzyńska</dc:creator>
  <cp:keywords/>
  <dc:description/>
  <cp:lastModifiedBy>Marta Chytrzyńska</cp:lastModifiedBy>
  <cp:revision>1</cp:revision>
  <dcterms:created xsi:type="dcterms:W3CDTF">2019-03-20T08:05:00Z</dcterms:created>
  <dcterms:modified xsi:type="dcterms:W3CDTF">2019-03-20T08:09:00Z</dcterms:modified>
</cp:coreProperties>
</file>